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500DC" w14:textId="77777777" w:rsidR="0064632D" w:rsidRPr="00F16552" w:rsidRDefault="0064632D" w:rsidP="0064632D">
      <w:pPr>
        <w:pStyle w:val="Akapitzlist"/>
        <w:spacing w:after="0" w:line="360" w:lineRule="auto"/>
        <w:ind w:left="0"/>
        <w:jc w:val="both"/>
        <w:rPr>
          <w:rFonts w:ascii="Arial" w:hAnsi="Arial" w:cs="Arial"/>
          <w:b/>
          <w:sz w:val="20"/>
          <w:szCs w:val="20"/>
        </w:rPr>
      </w:pPr>
      <w:r w:rsidRPr="00F16552">
        <w:rPr>
          <w:rFonts w:ascii="Arial" w:hAnsi="Arial" w:cs="Arial"/>
          <w:b/>
          <w:sz w:val="20"/>
          <w:szCs w:val="20"/>
        </w:rPr>
        <w:t>Instrukcja</w:t>
      </w:r>
    </w:p>
    <w:p w14:paraId="56CEB716" w14:textId="77777777" w:rsidR="0064632D" w:rsidRPr="00F16552" w:rsidRDefault="0064632D" w:rsidP="0064632D">
      <w:pPr>
        <w:tabs>
          <w:tab w:val="left" w:pos="1418"/>
        </w:tabs>
        <w:spacing w:after="0" w:line="360" w:lineRule="auto"/>
        <w:jc w:val="both"/>
        <w:rPr>
          <w:rFonts w:ascii="Arial" w:hAnsi="Arial" w:cs="Arial"/>
          <w:b/>
          <w:sz w:val="20"/>
          <w:szCs w:val="20"/>
        </w:rPr>
      </w:pPr>
      <w:r w:rsidRPr="00F16552">
        <w:rPr>
          <w:rFonts w:ascii="Arial" w:hAnsi="Arial" w:cs="Arial"/>
          <w:b/>
          <w:sz w:val="20"/>
          <w:szCs w:val="20"/>
        </w:rPr>
        <w:t>Impreza może być w kosztach podatkowych, ale czy tylko dla pracowników?</w:t>
      </w:r>
    </w:p>
    <w:p w14:paraId="5352A58D" w14:textId="77777777" w:rsidR="0064632D" w:rsidRPr="00F16552" w:rsidRDefault="0064632D" w:rsidP="0064632D">
      <w:pPr>
        <w:tabs>
          <w:tab w:val="left" w:pos="1418"/>
        </w:tabs>
        <w:spacing w:after="0" w:line="360" w:lineRule="auto"/>
        <w:jc w:val="both"/>
        <w:rPr>
          <w:rFonts w:ascii="Arial" w:hAnsi="Arial" w:cs="Arial"/>
          <w:bCs/>
          <w:sz w:val="20"/>
          <w:szCs w:val="20"/>
        </w:rPr>
      </w:pPr>
      <w:r w:rsidRPr="00F16552">
        <w:rPr>
          <w:rFonts w:ascii="Arial" w:hAnsi="Arial" w:cs="Arial"/>
          <w:bCs/>
          <w:sz w:val="20"/>
          <w:szCs w:val="20"/>
        </w:rPr>
        <w:t>Luiza Pieprzyk</w:t>
      </w:r>
    </w:p>
    <w:p w14:paraId="24A5F4E8" w14:textId="77777777" w:rsidR="0064632D" w:rsidRDefault="0064632D" w:rsidP="0064632D">
      <w:pPr>
        <w:tabs>
          <w:tab w:val="left" w:pos="1418"/>
        </w:tabs>
        <w:spacing w:after="0" w:line="360" w:lineRule="auto"/>
        <w:jc w:val="both"/>
        <w:rPr>
          <w:rFonts w:ascii="Arial" w:hAnsi="Arial" w:cs="Arial"/>
          <w:bCs/>
          <w:sz w:val="20"/>
          <w:szCs w:val="20"/>
        </w:rPr>
      </w:pPr>
    </w:p>
    <w:p w14:paraId="0DB1243A" w14:textId="77777777" w:rsidR="0064632D" w:rsidRPr="00F16552" w:rsidRDefault="0064632D" w:rsidP="0064632D">
      <w:pPr>
        <w:tabs>
          <w:tab w:val="left" w:pos="1418"/>
        </w:tabs>
        <w:spacing w:after="0" w:line="360" w:lineRule="auto"/>
        <w:jc w:val="both"/>
        <w:rPr>
          <w:rFonts w:ascii="Arial" w:hAnsi="Arial" w:cs="Arial"/>
          <w:bCs/>
          <w:sz w:val="20"/>
          <w:szCs w:val="20"/>
        </w:rPr>
      </w:pPr>
      <w:r w:rsidRPr="00F16552">
        <w:rPr>
          <w:rFonts w:ascii="Arial" w:hAnsi="Arial" w:cs="Arial"/>
          <w:bCs/>
          <w:sz w:val="20"/>
          <w:szCs w:val="20"/>
        </w:rPr>
        <w:t>Eventy, imprezy, „wigilie firmowe” itp.</w:t>
      </w:r>
      <w:r>
        <w:rPr>
          <w:rFonts w:ascii="Arial" w:hAnsi="Arial" w:cs="Arial"/>
          <w:bCs/>
          <w:sz w:val="20"/>
          <w:szCs w:val="20"/>
        </w:rPr>
        <w:t xml:space="preserve"> –</w:t>
      </w:r>
      <w:r w:rsidRPr="00F16552">
        <w:rPr>
          <w:rFonts w:ascii="Arial" w:hAnsi="Arial" w:cs="Arial"/>
          <w:bCs/>
          <w:sz w:val="20"/>
          <w:szCs w:val="20"/>
        </w:rPr>
        <w:t xml:space="preserve"> cały czas piętrzymy problemy, zamiast je rozwiązywać. </w:t>
      </w:r>
    </w:p>
    <w:p w14:paraId="5FC78488" w14:textId="77777777" w:rsidR="0064632D" w:rsidRDefault="0064632D" w:rsidP="0064632D">
      <w:pPr>
        <w:tabs>
          <w:tab w:val="left" w:pos="1418"/>
        </w:tabs>
        <w:spacing w:after="0" w:line="360" w:lineRule="auto"/>
        <w:jc w:val="both"/>
        <w:rPr>
          <w:rFonts w:ascii="Arial" w:hAnsi="Arial" w:cs="Arial"/>
          <w:b/>
          <w:bCs/>
          <w:sz w:val="20"/>
          <w:szCs w:val="20"/>
        </w:rPr>
      </w:pPr>
    </w:p>
    <w:p w14:paraId="04344FD8" w14:textId="77777777" w:rsidR="0064632D" w:rsidRPr="00F16552" w:rsidRDefault="0064632D" w:rsidP="0064632D">
      <w:pPr>
        <w:tabs>
          <w:tab w:val="left" w:pos="1418"/>
        </w:tabs>
        <w:spacing w:after="0" w:line="360" w:lineRule="auto"/>
        <w:jc w:val="both"/>
        <w:rPr>
          <w:rFonts w:ascii="Arial" w:hAnsi="Arial" w:cs="Arial"/>
          <w:b/>
          <w:bCs/>
          <w:sz w:val="20"/>
          <w:szCs w:val="20"/>
        </w:rPr>
      </w:pPr>
      <w:r w:rsidRPr="00F16552">
        <w:rPr>
          <w:rFonts w:ascii="Arial" w:hAnsi="Arial" w:cs="Arial"/>
          <w:b/>
          <w:bCs/>
          <w:sz w:val="20"/>
          <w:szCs w:val="20"/>
        </w:rPr>
        <w:t>Analiza prawna i podatkowa</w:t>
      </w:r>
    </w:p>
    <w:p w14:paraId="65E7BD4D" w14:textId="77777777" w:rsidR="0064632D" w:rsidRPr="00F16552" w:rsidRDefault="0064632D" w:rsidP="0064632D">
      <w:pPr>
        <w:spacing w:after="0" w:line="360" w:lineRule="auto"/>
        <w:jc w:val="both"/>
        <w:rPr>
          <w:rFonts w:ascii="Arial" w:hAnsi="Arial" w:cs="Arial"/>
          <w:sz w:val="20"/>
          <w:szCs w:val="20"/>
        </w:rPr>
      </w:pPr>
      <w:r w:rsidRPr="00F16552">
        <w:rPr>
          <w:rFonts w:ascii="Arial" w:hAnsi="Arial" w:cs="Arial"/>
          <w:sz w:val="20"/>
          <w:szCs w:val="20"/>
        </w:rPr>
        <w:t xml:space="preserve">W art. 15 ust. 1 ustawy z </w:t>
      </w:r>
      <w:r>
        <w:rPr>
          <w:rFonts w:ascii="Arial" w:hAnsi="Arial" w:cs="Arial"/>
          <w:sz w:val="20"/>
          <w:szCs w:val="20"/>
        </w:rPr>
        <w:t xml:space="preserve">dnia </w:t>
      </w:r>
      <w:r w:rsidRPr="00F16552">
        <w:rPr>
          <w:rFonts w:ascii="Arial" w:hAnsi="Arial" w:cs="Arial"/>
          <w:sz w:val="20"/>
          <w:szCs w:val="20"/>
        </w:rPr>
        <w:t>15 lutego 1992 r. o podatku dochodowym od osób prawnych ustawodawca zawarł ogólną zasadę zaliczania poniesionych wydatków do kosztów uzyskania przychodów. Zgodnie z tą regułą kosztami uzyskania przychodów są koszty poniesione w celu osiągnięcia przychodów ze</w:t>
      </w:r>
      <w:r>
        <w:rPr>
          <w:rFonts w:ascii="Arial" w:hAnsi="Arial" w:cs="Arial"/>
          <w:sz w:val="20"/>
          <w:szCs w:val="20"/>
        </w:rPr>
        <w:t> </w:t>
      </w:r>
      <w:r w:rsidRPr="00F16552">
        <w:rPr>
          <w:rFonts w:ascii="Arial" w:hAnsi="Arial" w:cs="Arial"/>
          <w:sz w:val="20"/>
          <w:szCs w:val="20"/>
        </w:rPr>
        <w:t>źródła przychodów lub w celu zachowania albo zabezpieczenia źródła przychodów, z wyjątkiem kosztów wymienionych w art. 16 ust. 1 ustawy o PDOP. W przepisie tym sformułowano zamknięty katalog wydatków, które zostały wyłączone z kosztów uzyskania przychodów z mocy prawa. W</w:t>
      </w:r>
      <w:r>
        <w:rPr>
          <w:rFonts w:ascii="Arial" w:hAnsi="Arial" w:cs="Arial"/>
          <w:sz w:val="20"/>
          <w:szCs w:val="20"/>
        </w:rPr>
        <w:t> </w:t>
      </w:r>
      <w:r w:rsidRPr="00F16552">
        <w:rPr>
          <w:rFonts w:ascii="Arial" w:hAnsi="Arial" w:cs="Arial"/>
          <w:sz w:val="20"/>
          <w:szCs w:val="20"/>
        </w:rPr>
        <w:t>orzecznictwie i doktrynie przyjmuje się, że do kosztów uzyskania przychodów podatnik ma prawo zaliczyć taki koszt, który łącznie spełnia następujące warunki:</w:t>
      </w:r>
    </w:p>
    <w:p w14:paraId="065616C8"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został poniesiony przez podatnika,</w:t>
      </w:r>
    </w:p>
    <w:p w14:paraId="2FB4A809"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jest definitywny,</w:t>
      </w:r>
    </w:p>
    <w:p w14:paraId="409F2FA5"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pozostaje w związku z prowadzoną przez podatnika działalnością gospodarczą,</w:t>
      </w:r>
    </w:p>
    <w:p w14:paraId="35F3A6A2"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poniesiony został w celu uzyskania (w tym zwiększenia), zachowania lub zabezpieczenia przychodów,</w:t>
      </w:r>
    </w:p>
    <w:p w14:paraId="5F4C5896"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został właściwe udokumentowany,</w:t>
      </w:r>
    </w:p>
    <w:p w14:paraId="0EEF5421" w14:textId="77777777" w:rsidR="0064632D" w:rsidRPr="00F16552" w:rsidRDefault="0064632D" w:rsidP="0064632D">
      <w:pPr>
        <w:pStyle w:val="Akapitzlist"/>
        <w:numPr>
          <w:ilvl w:val="0"/>
          <w:numId w:val="1"/>
        </w:numPr>
        <w:spacing w:after="0" w:line="360" w:lineRule="auto"/>
        <w:ind w:left="567" w:hanging="283"/>
        <w:jc w:val="both"/>
        <w:rPr>
          <w:rFonts w:ascii="Arial" w:hAnsi="Arial" w:cs="Arial"/>
          <w:sz w:val="20"/>
          <w:szCs w:val="20"/>
        </w:rPr>
      </w:pPr>
      <w:r w:rsidRPr="00F16552">
        <w:rPr>
          <w:rFonts w:ascii="Arial" w:hAnsi="Arial" w:cs="Arial"/>
          <w:sz w:val="20"/>
          <w:szCs w:val="20"/>
        </w:rPr>
        <w:t>nie znajduje się w katalogu wydatków z art. 16 ust. 1 ustawy o CIT.</w:t>
      </w:r>
    </w:p>
    <w:p w14:paraId="0E7B1D1B" w14:textId="77777777" w:rsidR="0064632D" w:rsidRPr="00F16552" w:rsidRDefault="0064632D" w:rsidP="0064632D">
      <w:pPr>
        <w:spacing w:after="0" w:line="360" w:lineRule="auto"/>
        <w:jc w:val="both"/>
        <w:rPr>
          <w:rFonts w:ascii="Arial" w:hAnsi="Arial" w:cs="Arial"/>
          <w:sz w:val="20"/>
          <w:szCs w:val="20"/>
        </w:rPr>
      </w:pPr>
      <w:r w:rsidRPr="00F16552">
        <w:rPr>
          <w:rFonts w:ascii="Arial" w:hAnsi="Arial" w:cs="Arial"/>
          <w:sz w:val="20"/>
          <w:szCs w:val="20"/>
        </w:rPr>
        <w:t>Kosztami podatkowymi mogą być tzw. koszty pracownicze. Koszty te obejmują przede wszystkim wynagrodzenia zasadnicze, wszelkiego rodzaju nagrody, premie i diety oraz wydatki związane z</w:t>
      </w:r>
      <w:r>
        <w:rPr>
          <w:rFonts w:ascii="Arial" w:hAnsi="Arial" w:cs="Arial"/>
          <w:sz w:val="20"/>
          <w:szCs w:val="20"/>
        </w:rPr>
        <w:t> </w:t>
      </w:r>
      <w:r w:rsidRPr="00F16552">
        <w:rPr>
          <w:rFonts w:ascii="Arial" w:hAnsi="Arial" w:cs="Arial"/>
          <w:sz w:val="20"/>
          <w:szCs w:val="20"/>
        </w:rPr>
        <w:t xml:space="preserve">podnoszeniem kwalifikacji zawodowych pracowników. Mogą również obejmować wydatki ponoszone na rzecz pracowników w celu ich integracji, np. w postaci organizacji dla nich spotkań integracyjnych (okolicznościowych). Są one związane z prowadzoną przez podatnika działalnością, bowiem mają na celu poprawę atmosfery pracy, zintegrowanie pracowników z pracodawcą, co w konsekwencji może wpływać na zwiększenie ich zaangażowania, a co za tym idzie – także efektywności ich pracy. </w:t>
      </w:r>
    </w:p>
    <w:p w14:paraId="2418413E" w14:textId="77777777" w:rsidR="0064632D" w:rsidRDefault="0064632D" w:rsidP="0064632D">
      <w:pPr>
        <w:spacing w:after="0" w:line="360" w:lineRule="auto"/>
        <w:jc w:val="both"/>
        <w:rPr>
          <w:rFonts w:ascii="Arial" w:hAnsi="Arial" w:cs="Arial"/>
          <w:b/>
          <w:sz w:val="20"/>
          <w:szCs w:val="20"/>
        </w:rPr>
      </w:pPr>
    </w:p>
    <w:p w14:paraId="518BB659" w14:textId="77777777" w:rsidR="0064632D" w:rsidRPr="00F16552" w:rsidRDefault="0064632D" w:rsidP="0064632D">
      <w:pPr>
        <w:spacing w:after="0" w:line="360" w:lineRule="auto"/>
        <w:jc w:val="both"/>
        <w:rPr>
          <w:rFonts w:ascii="Arial" w:hAnsi="Arial" w:cs="Arial"/>
          <w:b/>
          <w:sz w:val="20"/>
          <w:szCs w:val="20"/>
        </w:rPr>
      </w:pPr>
      <w:r w:rsidRPr="00F16552">
        <w:rPr>
          <w:rFonts w:ascii="Arial" w:hAnsi="Arial" w:cs="Arial"/>
          <w:b/>
          <w:sz w:val="20"/>
          <w:szCs w:val="20"/>
        </w:rPr>
        <w:t xml:space="preserve">Ważne! </w:t>
      </w:r>
    </w:p>
    <w:p w14:paraId="77DF5177" w14:textId="77777777" w:rsidR="0064632D" w:rsidRPr="00F16552" w:rsidRDefault="0064632D" w:rsidP="0064632D">
      <w:pPr>
        <w:spacing w:after="0" w:line="360" w:lineRule="auto"/>
        <w:jc w:val="both"/>
        <w:rPr>
          <w:rFonts w:ascii="Arial" w:hAnsi="Arial" w:cs="Arial"/>
          <w:sz w:val="20"/>
          <w:szCs w:val="20"/>
        </w:rPr>
      </w:pPr>
      <w:r w:rsidRPr="00F16552">
        <w:rPr>
          <w:rFonts w:ascii="Arial" w:hAnsi="Arial" w:cs="Arial"/>
          <w:sz w:val="20"/>
          <w:szCs w:val="20"/>
        </w:rPr>
        <w:t>Aby wydatki związane z imprezą integracyjną mogły być zaliczone do kosztów uzyskania przychodów, istotne jest, aby były poniesione na rzecz pracowników, ewentualnie ich rodzin. Kosztami pracowniczymi poniesionymi w związku z imprezą integracyjną nie będą koszty związane z wydatkami poniesionymi na kontrahentów bądź na osoby niezatrudnione w zakładzie pracy.</w:t>
      </w:r>
    </w:p>
    <w:p w14:paraId="4D4539F7" w14:textId="77777777" w:rsidR="0064632D" w:rsidRDefault="0064632D" w:rsidP="0064632D">
      <w:pPr>
        <w:spacing w:after="0" w:line="360" w:lineRule="auto"/>
        <w:jc w:val="both"/>
        <w:rPr>
          <w:rFonts w:ascii="Arial" w:hAnsi="Arial" w:cs="Arial"/>
          <w:b/>
          <w:sz w:val="20"/>
          <w:szCs w:val="20"/>
        </w:rPr>
      </w:pPr>
    </w:p>
    <w:p w14:paraId="73CD9CC2" w14:textId="77777777" w:rsidR="0064632D" w:rsidRPr="00F16552" w:rsidRDefault="0064632D" w:rsidP="0064632D">
      <w:pPr>
        <w:spacing w:after="0" w:line="360" w:lineRule="auto"/>
        <w:jc w:val="both"/>
        <w:rPr>
          <w:rFonts w:ascii="Arial" w:hAnsi="Arial" w:cs="Arial"/>
          <w:b/>
          <w:sz w:val="20"/>
          <w:szCs w:val="20"/>
        </w:rPr>
      </w:pPr>
      <w:r w:rsidRPr="00F16552">
        <w:rPr>
          <w:rFonts w:ascii="Arial" w:hAnsi="Arial" w:cs="Arial"/>
          <w:b/>
          <w:sz w:val="20"/>
          <w:szCs w:val="20"/>
        </w:rPr>
        <w:t xml:space="preserve">Jak to widzą sądy i fiskus? </w:t>
      </w:r>
    </w:p>
    <w:p w14:paraId="3203AB20" w14:textId="77777777" w:rsidR="0064632D" w:rsidRPr="007577E9" w:rsidRDefault="0064632D" w:rsidP="0064632D">
      <w:pPr>
        <w:spacing w:after="0" w:line="360" w:lineRule="auto"/>
        <w:jc w:val="both"/>
        <w:rPr>
          <w:rFonts w:ascii="Arial" w:hAnsi="Arial" w:cs="Arial"/>
          <w:i/>
          <w:iCs/>
          <w:sz w:val="20"/>
          <w:szCs w:val="20"/>
        </w:rPr>
      </w:pPr>
      <w:r w:rsidRPr="00F16552">
        <w:rPr>
          <w:rFonts w:ascii="Arial" w:hAnsi="Arial" w:cs="Arial"/>
          <w:sz w:val="20"/>
          <w:szCs w:val="20"/>
        </w:rPr>
        <w:t xml:space="preserve">Sądy administracyjne oraz organy podatkowe zwracają jednak uwagę na to, że nie każdy wydatek, który związany jest z imprezą integracyjną, będzie mógł być zaliczony do kosztów uzyskania przychodów. Konieczne jest wykazanie, iż impreza taka faktycznie ma charakter integracyjny. Wydatki, które mają </w:t>
      </w:r>
      <w:r w:rsidRPr="00F16552">
        <w:rPr>
          <w:rFonts w:ascii="Arial" w:hAnsi="Arial" w:cs="Arial"/>
          <w:sz w:val="20"/>
          <w:szCs w:val="20"/>
        </w:rPr>
        <w:lastRenderedPageBreak/>
        <w:t xml:space="preserve">jedynie charakter rozrywkowy, nie będą stanowić kosztów uzyskania przychodów. W wyroku z </w:t>
      </w:r>
      <w:r>
        <w:rPr>
          <w:rFonts w:ascii="Arial" w:hAnsi="Arial" w:cs="Arial"/>
          <w:sz w:val="20"/>
          <w:szCs w:val="20"/>
        </w:rPr>
        <w:t xml:space="preserve">dnia </w:t>
      </w:r>
      <w:r w:rsidRPr="00F16552">
        <w:rPr>
          <w:rFonts w:ascii="Arial" w:hAnsi="Arial" w:cs="Arial"/>
          <w:sz w:val="20"/>
          <w:szCs w:val="20"/>
        </w:rPr>
        <w:t>8</w:t>
      </w:r>
      <w:r>
        <w:rPr>
          <w:rFonts w:ascii="Arial" w:hAnsi="Arial" w:cs="Arial"/>
          <w:sz w:val="20"/>
          <w:szCs w:val="20"/>
        </w:rPr>
        <w:t> </w:t>
      </w:r>
      <w:r w:rsidRPr="00F16552">
        <w:rPr>
          <w:rFonts w:ascii="Arial" w:hAnsi="Arial" w:cs="Arial"/>
          <w:sz w:val="20"/>
          <w:szCs w:val="20"/>
        </w:rPr>
        <w:t>lutego 2011 r o sygn. akt: I SA/</w:t>
      </w:r>
      <w:proofErr w:type="spellStart"/>
      <w:r w:rsidRPr="00F16552">
        <w:rPr>
          <w:rFonts w:ascii="Arial" w:hAnsi="Arial" w:cs="Arial"/>
          <w:sz w:val="20"/>
          <w:szCs w:val="20"/>
        </w:rPr>
        <w:t>Wr</w:t>
      </w:r>
      <w:proofErr w:type="spellEnd"/>
      <w:r w:rsidRPr="00F16552">
        <w:rPr>
          <w:rFonts w:ascii="Arial" w:hAnsi="Arial" w:cs="Arial"/>
          <w:sz w:val="20"/>
          <w:szCs w:val="20"/>
        </w:rPr>
        <w:t xml:space="preserve"> 1335/10. WSA we Wrocławiu stwierdził</w:t>
      </w:r>
      <w:r>
        <w:rPr>
          <w:rFonts w:ascii="Arial" w:hAnsi="Arial" w:cs="Arial"/>
          <w:sz w:val="20"/>
          <w:szCs w:val="20"/>
        </w:rPr>
        <w:t>:</w:t>
      </w:r>
      <w:r w:rsidRPr="00F16552">
        <w:rPr>
          <w:rFonts w:ascii="Arial" w:hAnsi="Arial" w:cs="Arial"/>
          <w:sz w:val="20"/>
          <w:szCs w:val="20"/>
        </w:rPr>
        <w:t xml:space="preserve"> </w:t>
      </w:r>
      <w:r>
        <w:rPr>
          <w:rFonts w:ascii="Arial" w:hAnsi="Arial" w:cs="Arial"/>
          <w:sz w:val="20"/>
          <w:szCs w:val="20"/>
        </w:rPr>
        <w:t>„</w:t>
      </w:r>
      <w:r w:rsidRPr="00A850A5">
        <w:rPr>
          <w:rFonts w:ascii="Arial" w:hAnsi="Arial" w:cs="Arial"/>
          <w:iCs/>
          <w:sz w:val="20"/>
          <w:szCs w:val="20"/>
        </w:rPr>
        <w:t>Aby zatem zaliczyć wydatek tej kategorii do kosztów uzyskania przychodów, musi on zakładać istnienie ww. warunków, tym samym przy ocenie charakteru kosztowego imprezy integracyjno-szkoleniowej istotne będą jej założenia (program) – czy zawiera ona elementy budujące wzajemne relacje pomiędzy pracownikami, umiejętności pracy zespołowej, zarządzania grupą, pracy pod presją czasu, rozwijania umiejętności w</w:t>
      </w:r>
      <w:r>
        <w:rPr>
          <w:rFonts w:ascii="Arial" w:hAnsi="Arial" w:cs="Arial"/>
          <w:iCs/>
          <w:sz w:val="20"/>
          <w:szCs w:val="20"/>
        </w:rPr>
        <w:t> </w:t>
      </w:r>
      <w:r w:rsidRPr="00A850A5">
        <w:rPr>
          <w:rFonts w:ascii="Arial" w:hAnsi="Arial" w:cs="Arial"/>
          <w:iCs/>
          <w:sz w:val="20"/>
          <w:szCs w:val="20"/>
        </w:rPr>
        <w:t>danej dziedzinie wiedzy czy też zdobywanie i poznawanie innych przydatnych w danej branży umiejętności. (…) Tym samym charakteru kosztowego nie mogą mieć imprezy czy spotkania organizowane bez wskazanych powyżej założeń, których głównym celem jest wzajemne ze sobą przebywanie, zabawa przy muzyce czy konsumpcja</w:t>
      </w:r>
      <w:r>
        <w:rPr>
          <w:rFonts w:ascii="Arial" w:hAnsi="Arial" w:cs="Arial"/>
          <w:i/>
          <w:iCs/>
          <w:sz w:val="20"/>
          <w:szCs w:val="20"/>
        </w:rPr>
        <w:t>”</w:t>
      </w:r>
      <w:r w:rsidRPr="007577E9">
        <w:rPr>
          <w:rFonts w:ascii="Arial" w:hAnsi="Arial" w:cs="Arial"/>
          <w:i/>
          <w:iCs/>
          <w:sz w:val="20"/>
          <w:szCs w:val="20"/>
        </w:rPr>
        <w:t>.</w:t>
      </w:r>
    </w:p>
    <w:p w14:paraId="51C8ACC9" w14:textId="77777777" w:rsidR="0064632D" w:rsidRDefault="0064632D" w:rsidP="0064632D">
      <w:pPr>
        <w:spacing w:after="0" w:line="360" w:lineRule="auto"/>
        <w:jc w:val="both"/>
        <w:rPr>
          <w:rFonts w:ascii="Arial" w:hAnsi="Arial" w:cs="Arial"/>
          <w:sz w:val="20"/>
          <w:szCs w:val="20"/>
        </w:rPr>
      </w:pPr>
    </w:p>
    <w:p w14:paraId="1A9983C6" w14:textId="77777777" w:rsidR="0064632D" w:rsidRPr="00F16552" w:rsidRDefault="0064632D" w:rsidP="0064632D">
      <w:pPr>
        <w:spacing w:after="0" w:line="360" w:lineRule="auto"/>
        <w:jc w:val="both"/>
        <w:rPr>
          <w:rFonts w:ascii="Arial" w:hAnsi="Arial" w:cs="Arial"/>
          <w:sz w:val="20"/>
          <w:szCs w:val="20"/>
        </w:rPr>
      </w:pPr>
      <w:r w:rsidRPr="00F16552">
        <w:rPr>
          <w:rFonts w:ascii="Arial" w:hAnsi="Arial" w:cs="Arial"/>
          <w:sz w:val="20"/>
          <w:szCs w:val="20"/>
        </w:rPr>
        <w:t xml:space="preserve">Należy także zwrócić uwagę na kwestię ujmowania w kosztach wydatków poniesionych na członków rodziny pracowników, którzy towarzyszą im podczas imprezy integracyjnej. </w:t>
      </w:r>
    </w:p>
    <w:p w14:paraId="0E60F3DC" w14:textId="77777777" w:rsidR="0064632D" w:rsidRPr="00F16552" w:rsidRDefault="0064632D" w:rsidP="0064632D">
      <w:pPr>
        <w:spacing w:after="0" w:line="360" w:lineRule="auto"/>
        <w:jc w:val="both"/>
        <w:rPr>
          <w:rFonts w:ascii="Arial" w:hAnsi="Arial" w:cs="Arial"/>
          <w:b/>
          <w:sz w:val="20"/>
          <w:szCs w:val="20"/>
        </w:rPr>
      </w:pPr>
      <w:r w:rsidRPr="00F16552">
        <w:rPr>
          <w:rFonts w:ascii="Arial" w:hAnsi="Arial" w:cs="Arial"/>
          <w:b/>
          <w:sz w:val="20"/>
          <w:szCs w:val="20"/>
        </w:rPr>
        <w:t xml:space="preserve">Uwaga! </w:t>
      </w:r>
    </w:p>
    <w:p w14:paraId="387809DA" w14:textId="77777777" w:rsidR="0064632D" w:rsidRPr="00F16552" w:rsidRDefault="0064632D" w:rsidP="0064632D">
      <w:pPr>
        <w:spacing w:after="0" w:line="360" w:lineRule="auto"/>
        <w:jc w:val="both"/>
        <w:rPr>
          <w:rFonts w:ascii="Arial" w:hAnsi="Arial" w:cs="Arial"/>
          <w:sz w:val="20"/>
          <w:szCs w:val="20"/>
        </w:rPr>
      </w:pPr>
      <w:r w:rsidRPr="00F16552">
        <w:rPr>
          <w:rFonts w:ascii="Arial" w:hAnsi="Arial" w:cs="Arial"/>
          <w:sz w:val="20"/>
          <w:szCs w:val="20"/>
        </w:rPr>
        <w:t xml:space="preserve">Obecnie przeważa pogląd, zgodnie z którym wydatki poniesione na członków rodziny mogą zostać zaliczone do kosztów uzyskania przychodów z tytułu organizacji imprezy integracyjnej. Podkreśla się tutaj rolę stosunku pracy łączącego pracownika z pracodawcą, dzięki któremu osoby towarzyszące mogą być obecne na tego typu spotkaniach. W interpretacji z dnia 30 stycznia 2018 r., </w:t>
      </w:r>
      <w:r>
        <w:rPr>
          <w:rFonts w:ascii="Arial" w:hAnsi="Arial" w:cs="Arial"/>
          <w:sz w:val="20"/>
          <w:szCs w:val="20"/>
        </w:rPr>
        <w:t>znak:</w:t>
      </w:r>
      <w:r w:rsidRPr="00F16552">
        <w:rPr>
          <w:rFonts w:ascii="Arial" w:hAnsi="Arial" w:cs="Arial"/>
          <w:sz w:val="20"/>
          <w:szCs w:val="20"/>
        </w:rPr>
        <w:t xml:space="preserve"> 0111-KDIB2-1.4010.359.2017.1.AP</w:t>
      </w:r>
      <w:r>
        <w:rPr>
          <w:rFonts w:ascii="Arial" w:hAnsi="Arial" w:cs="Arial"/>
          <w:sz w:val="20"/>
          <w:szCs w:val="20"/>
        </w:rPr>
        <w:t>,</w:t>
      </w:r>
      <w:r w:rsidRPr="00F16552">
        <w:rPr>
          <w:rFonts w:ascii="Arial" w:hAnsi="Arial" w:cs="Arial"/>
          <w:sz w:val="20"/>
          <w:szCs w:val="20"/>
        </w:rPr>
        <w:t xml:space="preserve"> Dyrektor Krajowej Informacji Skarbowej stwierdził, że „kosztami pracowniczymi mogą być także wydatki na organizację imprezy integracyjnej dla członków rodzin pracowników ewentualnie osób im towarzyszących. Świadczenie to bowiem związane jest ze</w:t>
      </w:r>
      <w:r>
        <w:rPr>
          <w:rFonts w:ascii="Arial" w:hAnsi="Arial" w:cs="Arial"/>
          <w:sz w:val="20"/>
          <w:szCs w:val="20"/>
        </w:rPr>
        <w:t> </w:t>
      </w:r>
      <w:r w:rsidRPr="00F16552">
        <w:rPr>
          <w:rFonts w:ascii="Arial" w:hAnsi="Arial" w:cs="Arial"/>
          <w:sz w:val="20"/>
          <w:szCs w:val="20"/>
        </w:rPr>
        <w:t>stosunkiem pracy łączącym pracownika z pracodawcą (gdyby nie ten stosunek, członkowie rodzin/osoby towarzyszące, nie uczestniczyliby w spotkaniu)”</w:t>
      </w:r>
      <w:r>
        <w:rPr>
          <w:rFonts w:ascii="Arial" w:hAnsi="Arial" w:cs="Arial"/>
          <w:sz w:val="20"/>
          <w:szCs w:val="20"/>
        </w:rPr>
        <w:t>.</w:t>
      </w:r>
    </w:p>
    <w:p w14:paraId="701EBC3F" w14:textId="77777777" w:rsidR="0064632D" w:rsidRDefault="0064632D" w:rsidP="0064632D">
      <w:pPr>
        <w:spacing w:after="0" w:line="360" w:lineRule="auto"/>
        <w:jc w:val="both"/>
        <w:rPr>
          <w:rFonts w:ascii="Arial" w:hAnsi="Arial" w:cs="Arial"/>
          <w:b/>
          <w:sz w:val="20"/>
          <w:szCs w:val="20"/>
        </w:rPr>
      </w:pPr>
    </w:p>
    <w:p w14:paraId="6628A4BC" w14:textId="77777777" w:rsidR="0064632D" w:rsidRPr="00F16552" w:rsidRDefault="0064632D" w:rsidP="0064632D">
      <w:pPr>
        <w:spacing w:after="0" w:line="360" w:lineRule="auto"/>
        <w:jc w:val="both"/>
        <w:rPr>
          <w:rFonts w:ascii="Arial" w:hAnsi="Arial" w:cs="Arial"/>
          <w:b/>
          <w:sz w:val="20"/>
          <w:szCs w:val="20"/>
        </w:rPr>
      </w:pPr>
      <w:r w:rsidRPr="00F16552">
        <w:rPr>
          <w:rFonts w:ascii="Arial" w:hAnsi="Arial" w:cs="Arial"/>
          <w:b/>
          <w:sz w:val="20"/>
          <w:szCs w:val="20"/>
        </w:rPr>
        <w:t>Podstawa prawna</w:t>
      </w:r>
    </w:p>
    <w:p w14:paraId="4044B735" w14:textId="77777777" w:rsidR="0064632D" w:rsidRPr="00F16552" w:rsidRDefault="0064632D" w:rsidP="0064632D">
      <w:pPr>
        <w:pStyle w:val="Akapitzlist"/>
        <w:numPr>
          <w:ilvl w:val="0"/>
          <w:numId w:val="2"/>
        </w:numPr>
        <w:spacing w:after="0" w:line="360" w:lineRule="auto"/>
        <w:ind w:left="284" w:hanging="284"/>
        <w:jc w:val="both"/>
        <w:rPr>
          <w:rFonts w:ascii="Arial" w:hAnsi="Arial" w:cs="Arial"/>
          <w:sz w:val="20"/>
          <w:szCs w:val="20"/>
        </w:rPr>
      </w:pPr>
      <w:r w:rsidRPr="00F16552">
        <w:rPr>
          <w:rFonts w:ascii="Arial" w:hAnsi="Arial" w:cs="Arial"/>
          <w:sz w:val="20"/>
          <w:szCs w:val="20"/>
        </w:rPr>
        <w:t xml:space="preserve">Wyrok WSA we Wrocławiu z dnia 8 lutego 2011 r., sygn. </w:t>
      </w:r>
      <w:r>
        <w:rPr>
          <w:rFonts w:ascii="Arial" w:hAnsi="Arial" w:cs="Arial"/>
          <w:sz w:val="20"/>
          <w:szCs w:val="20"/>
        </w:rPr>
        <w:t>a</w:t>
      </w:r>
      <w:r w:rsidRPr="00F16552">
        <w:rPr>
          <w:rFonts w:ascii="Arial" w:hAnsi="Arial" w:cs="Arial"/>
          <w:sz w:val="20"/>
          <w:szCs w:val="20"/>
        </w:rPr>
        <w:t>kt</w:t>
      </w:r>
      <w:r>
        <w:rPr>
          <w:rFonts w:ascii="Arial" w:hAnsi="Arial" w:cs="Arial"/>
          <w:sz w:val="20"/>
          <w:szCs w:val="20"/>
        </w:rPr>
        <w:t>:</w:t>
      </w:r>
      <w:r w:rsidRPr="00F16552">
        <w:rPr>
          <w:rFonts w:ascii="Arial" w:hAnsi="Arial" w:cs="Arial"/>
          <w:sz w:val="20"/>
          <w:szCs w:val="20"/>
        </w:rPr>
        <w:t xml:space="preserve"> I SA/</w:t>
      </w:r>
      <w:proofErr w:type="spellStart"/>
      <w:r w:rsidRPr="00F16552">
        <w:rPr>
          <w:rFonts w:ascii="Arial" w:hAnsi="Arial" w:cs="Arial"/>
          <w:sz w:val="20"/>
          <w:szCs w:val="20"/>
        </w:rPr>
        <w:t>Wr</w:t>
      </w:r>
      <w:proofErr w:type="spellEnd"/>
      <w:r w:rsidRPr="00F16552">
        <w:rPr>
          <w:rFonts w:ascii="Arial" w:hAnsi="Arial" w:cs="Arial"/>
          <w:sz w:val="20"/>
          <w:szCs w:val="20"/>
        </w:rPr>
        <w:t xml:space="preserve"> 1335/10</w:t>
      </w:r>
      <w:r>
        <w:rPr>
          <w:rFonts w:ascii="Arial" w:hAnsi="Arial" w:cs="Arial"/>
          <w:sz w:val="20"/>
          <w:szCs w:val="20"/>
        </w:rPr>
        <w:t>.</w:t>
      </w:r>
    </w:p>
    <w:p w14:paraId="27355036" w14:textId="77777777" w:rsidR="0064632D" w:rsidRPr="00F16552" w:rsidRDefault="0064632D" w:rsidP="0064632D">
      <w:pPr>
        <w:pStyle w:val="Akapitzlist"/>
        <w:numPr>
          <w:ilvl w:val="0"/>
          <w:numId w:val="2"/>
        </w:numPr>
        <w:spacing w:after="0" w:line="360" w:lineRule="auto"/>
        <w:ind w:left="284" w:hanging="284"/>
        <w:jc w:val="both"/>
        <w:rPr>
          <w:rFonts w:ascii="Arial" w:hAnsi="Arial" w:cs="Arial"/>
          <w:sz w:val="20"/>
          <w:szCs w:val="20"/>
        </w:rPr>
      </w:pPr>
      <w:r w:rsidRPr="00F16552">
        <w:rPr>
          <w:rFonts w:ascii="Arial" w:hAnsi="Arial" w:cs="Arial"/>
          <w:sz w:val="20"/>
          <w:szCs w:val="20"/>
        </w:rPr>
        <w:t>Interpretacja indywidualna Dyrektora Krajowej Informacji Skarbowej z dnia 30 stycznia 2018 r</w:t>
      </w:r>
      <w:r>
        <w:rPr>
          <w:rFonts w:ascii="Arial" w:hAnsi="Arial" w:cs="Arial"/>
          <w:sz w:val="20"/>
          <w:szCs w:val="20"/>
        </w:rPr>
        <w:t>.</w:t>
      </w:r>
      <w:r w:rsidRPr="00F16552">
        <w:rPr>
          <w:rFonts w:ascii="Arial" w:hAnsi="Arial" w:cs="Arial"/>
          <w:sz w:val="20"/>
          <w:szCs w:val="20"/>
        </w:rPr>
        <w:t xml:space="preserve">, </w:t>
      </w:r>
      <w:r>
        <w:rPr>
          <w:rFonts w:ascii="Arial" w:hAnsi="Arial" w:cs="Arial"/>
          <w:sz w:val="20"/>
          <w:szCs w:val="20"/>
        </w:rPr>
        <w:t>znak:</w:t>
      </w:r>
      <w:r w:rsidRPr="00F16552">
        <w:rPr>
          <w:rFonts w:ascii="Arial" w:hAnsi="Arial" w:cs="Arial"/>
          <w:sz w:val="20"/>
          <w:szCs w:val="20"/>
        </w:rPr>
        <w:t xml:space="preserve"> 0111-KDIB2-1.4010.359.2017.1.AP</w:t>
      </w:r>
      <w:r>
        <w:rPr>
          <w:rFonts w:ascii="Arial" w:hAnsi="Arial" w:cs="Arial"/>
          <w:sz w:val="20"/>
          <w:szCs w:val="20"/>
        </w:rPr>
        <w:t>.</w:t>
      </w:r>
    </w:p>
    <w:p w14:paraId="4352E6EF" w14:textId="77777777" w:rsidR="0064632D" w:rsidRPr="00F16552" w:rsidRDefault="0064632D" w:rsidP="0064632D">
      <w:pPr>
        <w:pStyle w:val="Akapitzlist"/>
        <w:numPr>
          <w:ilvl w:val="0"/>
          <w:numId w:val="2"/>
        </w:numPr>
        <w:spacing w:after="0" w:line="360" w:lineRule="auto"/>
        <w:ind w:left="284" w:hanging="284"/>
        <w:jc w:val="both"/>
        <w:rPr>
          <w:rFonts w:ascii="Arial" w:hAnsi="Arial" w:cs="Arial"/>
          <w:sz w:val="20"/>
          <w:szCs w:val="20"/>
        </w:rPr>
      </w:pPr>
      <w:r w:rsidRPr="00F16552">
        <w:rPr>
          <w:rFonts w:ascii="Arial" w:hAnsi="Arial" w:cs="Arial"/>
          <w:sz w:val="20"/>
          <w:szCs w:val="20"/>
        </w:rPr>
        <w:t>Interpretacja indywidualna Dyrektora Krajowej Informacji Skarbowej z dnia 1 września 2017 r</w:t>
      </w:r>
      <w:r>
        <w:rPr>
          <w:rFonts w:ascii="Arial" w:hAnsi="Arial" w:cs="Arial"/>
          <w:sz w:val="20"/>
          <w:szCs w:val="20"/>
        </w:rPr>
        <w:t>.</w:t>
      </w:r>
      <w:r w:rsidRPr="00F16552">
        <w:rPr>
          <w:rFonts w:ascii="Arial" w:hAnsi="Arial" w:cs="Arial"/>
          <w:sz w:val="20"/>
          <w:szCs w:val="20"/>
        </w:rPr>
        <w:t xml:space="preserve">, </w:t>
      </w:r>
      <w:r>
        <w:rPr>
          <w:rFonts w:ascii="Arial" w:hAnsi="Arial" w:cs="Arial"/>
          <w:sz w:val="20"/>
          <w:szCs w:val="20"/>
        </w:rPr>
        <w:t>znak:</w:t>
      </w:r>
      <w:r w:rsidRPr="00F16552">
        <w:rPr>
          <w:rFonts w:ascii="Arial" w:hAnsi="Arial" w:cs="Arial"/>
          <w:sz w:val="20"/>
          <w:szCs w:val="20"/>
        </w:rPr>
        <w:t xml:space="preserve"> 0114-KDIP2-1.4010.127.2017.1</w:t>
      </w:r>
      <w:r>
        <w:rPr>
          <w:rFonts w:ascii="Arial" w:hAnsi="Arial" w:cs="Arial"/>
          <w:sz w:val="20"/>
          <w:szCs w:val="20"/>
        </w:rPr>
        <w:t>.</w:t>
      </w:r>
    </w:p>
    <w:p w14:paraId="5E7224F5" w14:textId="77777777" w:rsidR="0064632D" w:rsidRPr="00F16552" w:rsidRDefault="0064632D" w:rsidP="0064632D">
      <w:pPr>
        <w:pStyle w:val="Akapitzlist"/>
        <w:numPr>
          <w:ilvl w:val="0"/>
          <w:numId w:val="2"/>
        </w:numPr>
        <w:spacing w:after="0" w:line="360" w:lineRule="auto"/>
        <w:ind w:left="284" w:hanging="284"/>
        <w:jc w:val="both"/>
        <w:rPr>
          <w:rFonts w:ascii="Arial" w:hAnsi="Arial" w:cs="Arial"/>
          <w:sz w:val="20"/>
          <w:szCs w:val="20"/>
        </w:rPr>
      </w:pPr>
      <w:r w:rsidRPr="00F16552">
        <w:rPr>
          <w:rFonts w:ascii="Arial" w:hAnsi="Arial" w:cs="Arial"/>
          <w:sz w:val="20"/>
          <w:szCs w:val="20"/>
        </w:rPr>
        <w:t xml:space="preserve">Wyrok NSA z </w:t>
      </w:r>
      <w:r>
        <w:rPr>
          <w:rFonts w:ascii="Arial" w:hAnsi="Arial" w:cs="Arial"/>
          <w:sz w:val="20"/>
          <w:szCs w:val="20"/>
        </w:rPr>
        <w:t xml:space="preserve">dnia </w:t>
      </w:r>
      <w:r w:rsidRPr="00F16552">
        <w:rPr>
          <w:rFonts w:ascii="Arial" w:hAnsi="Arial" w:cs="Arial"/>
          <w:sz w:val="20"/>
          <w:szCs w:val="20"/>
        </w:rPr>
        <w:t>16 października 2013 r., sygn. akt II FSK 1517/11</w:t>
      </w:r>
      <w:r>
        <w:rPr>
          <w:rFonts w:ascii="Arial" w:hAnsi="Arial" w:cs="Arial"/>
          <w:sz w:val="20"/>
          <w:szCs w:val="20"/>
        </w:rPr>
        <w:t>.</w:t>
      </w:r>
    </w:p>
    <w:p w14:paraId="5C00A571" w14:textId="77777777" w:rsidR="0064632D" w:rsidRPr="00F16552" w:rsidRDefault="0064632D" w:rsidP="0064632D">
      <w:pPr>
        <w:pStyle w:val="Akapitzlist"/>
        <w:numPr>
          <w:ilvl w:val="0"/>
          <w:numId w:val="2"/>
        </w:numPr>
        <w:spacing w:after="0" w:line="360" w:lineRule="auto"/>
        <w:ind w:left="284" w:hanging="284"/>
        <w:jc w:val="both"/>
        <w:rPr>
          <w:rFonts w:ascii="Arial" w:hAnsi="Arial" w:cs="Arial"/>
          <w:sz w:val="20"/>
          <w:szCs w:val="20"/>
        </w:rPr>
      </w:pPr>
      <w:r w:rsidRPr="00F16552">
        <w:rPr>
          <w:rFonts w:ascii="Arial" w:hAnsi="Arial" w:cs="Arial"/>
          <w:sz w:val="20"/>
          <w:szCs w:val="20"/>
        </w:rPr>
        <w:t>Interpretacja indywidualna Dyrektora Krajowej Informacji Skarbowej z dnia 16 sierpnia 2021 r</w:t>
      </w:r>
      <w:r>
        <w:rPr>
          <w:rFonts w:ascii="Arial" w:hAnsi="Arial" w:cs="Arial"/>
          <w:sz w:val="20"/>
          <w:szCs w:val="20"/>
        </w:rPr>
        <w:t>.</w:t>
      </w:r>
      <w:r w:rsidRPr="00F16552">
        <w:rPr>
          <w:rFonts w:ascii="Arial" w:hAnsi="Arial" w:cs="Arial"/>
          <w:sz w:val="20"/>
          <w:szCs w:val="20"/>
        </w:rPr>
        <w:t xml:space="preserve">, </w:t>
      </w:r>
      <w:r>
        <w:rPr>
          <w:rFonts w:ascii="Arial" w:hAnsi="Arial" w:cs="Arial"/>
          <w:sz w:val="20"/>
          <w:szCs w:val="20"/>
        </w:rPr>
        <w:t>znak:</w:t>
      </w:r>
      <w:r w:rsidRPr="00F16552">
        <w:rPr>
          <w:rFonts w:ascii="Arial" w:hAnsi="Arial" w:cs="Arial"/>
          <w:sz w:val="20"/>
          <w:szCs w:val="20"/>
        </w:rPr>
        <w:t xml:space="preserve"> 0111-KDIB2-1.4010.203.2021.1.AP.</w:t>
      </w:r>
    </w:p>
    <w:p w14:paraId="6931658B" w14:textId="77777777" w:rsidR="0054151C" w:rsidRDefault="0054151C">
      <w:bookmarkStart w:id="0" w:name="_GoBack"/>
      <w:bookmarkEnd w:id="0"/>
    </w:p>
    <w:sectPr w:rsidR="005415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52641"/>
    <w:multiLevelType w:val="hybridMultilevel"/>
    <w:tmpl w:val="6DC0C86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EBF0083"/>
    <w:multiLevelType w:val="hybridMultilevel"/>
    <w:tmpl w:val="AEA8F318"/>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5D4"/>
    <w:rsid w:val="001165D4"/>
    <w:rsid w:val="0054151C"/>
    <w:rsid w:val="006463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E991B9-6D94-4875-9B03-541E0EE3E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4632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64632D"/>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646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4336</Characters>
  <Application>Microsoft Office Word</Application>
  <DocSecurity>0</DocSecurity>
  <Lines>36</Lines>
  <Paragraphs>10</Paragraphs>
  <ScaleCrop>false</ScaleCrop>
  <Company>Forum Media Polska</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Sawicki Jakub</dc:creator>
  <cp:keywords/>
  <dc:description/>
  <cp:lastModifiedBy>Sawicki Jakub</cp:lastModifiedBy>
  <cp:revision>2</cp:revision>
  <dcterms:created xsi:type="dcterms:W3CDTF">2024-08-08T11:32:00Z</dcterms:created>
  <dcterms:modified xsi:type="dcterms:W3CDTF">2024-08-08T11:32:00Z</dcterms:modified>
</cp:coreProperties>
</file>